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8DB9">
      <w:pPr>
        <w:spacing w:line="360" w:lineRule="auto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校园问答智能体建设服务项目技术要求</w:t>
      </w:r>
    </w:p>
    <w:p w14:paraId="1D46F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  <w:lang w:val="en-US" w:eastAsia="zh-CN"/>
        </w:rPr>
        <w:t>园问答智能体</w:t>
      </w:r>
      <w:r>
        <w:rPr>
          <w:rFonts w:hint="eastAsia" w:ascii="仿宋" w:hAnsi="仿宋" w:eastAsia="仿宋"/>
          <w:sz w:val="28"/>
          <w:szCs w:val="32"/>
        </w:rPr>
        <w:t>需要根据以下的模块进行相应的开发并进行相应的集成与实施。</w:t>
      </w:r>
    </w:p>
    <w:tbl>
      <w:tblPr>
        <w:tblStyle w:val="3"/>
        <w:tblW w:w="90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984"/>
        <w:gridCol w:w="4378"/>
      </w:tblGrid>
      <w:tr w14:paraId="0F2D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6787D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4"/>
                <w:lang w:bidi="ar"/>
              </w:rPr>
              <w:t>业务场景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77F30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4"/>
                <w:lang w:bidi="ar"/>
              </w:rPr>
              <w:t>功能模块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57AA1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4"/>
                <w:lang w:bidi="ar"/>
              </w:rPr>
              <w:t>模块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C9870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kern w:val="0"/>
                <w:sz w:val="24"/>
                <w:lang w:bidi="ar"/>
              </w:rPr>
              <w:t>描述</w:t>
            </w:r>
          </w:p>
        </w:tc>
      </w:tr>
      <w:tr w14:paraId="2A21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73A9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校园问答智能体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服务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73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问答智能体服务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01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多轮问答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6C38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利用大语言模型技术，能够理解用户的自然语言查询，支持语音和文字输入输出。</w:t>
            </w:r>
          </w:p>
        </w:tc>
      </w:tr>
      <w:tr w14:paraId="4249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173D3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DB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3FC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EBD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支持多轮问答，并根据范围的内容附加内容来源，来源可查看。</w:t>
            </w:r>
          </w:p>
        </w:tc>
      </w:tr>
      <w:tr w14:paraId="69CC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B5158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0CD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BAA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7074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支持保留历史会话，用户换设备或下次登录后，可查看并基于历史会话内容继续对话。</w:t>
            </w:r>
          </w:p>
        </w:tc>
      </w:tr>
      <w:tr w14:paraId="5152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C4DF7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F0DC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B6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智能推荐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5A6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支持对话结果显示和该问答意图相关的推荐的应用（0-3个）或者推荐相关问答（0-3个），用户点击推荐应用可以进行应用导航；用户点击推荐相关问可以进行该问题的问答。</w:t>
            </w:r>
          </w:p>
        </w:tc>
      </w:tr>
      <w:tr w14:paraId="4A0F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3EBEC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48A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703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访问权限控制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1E9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在AI回答内容后标注“内容由AI生成，仅供参考”的提示信息，提示信息可以自定义。</w:t>
            </w:r>
          </w:p>
        </w:tc>
      </w:tr>
      <w:tr w14:paraId="7769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848EC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5E58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03D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52B6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应答时首字返回响应需要在4s以内。</w:t>
            </w:r>
          </w:p>
        </w:tc>
      </w:tr>
      <w:tr w14:paraId="2FD9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064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F880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AE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问答智能体创建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0A9D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新建不同知识库，上线多个细分任务问答智能体，如学科答疑智能体，让师生使用。</w:t>
            </w:r>
          </w:p>
        </w:tc>
      </w:tr>
      <w:tr w14:paraId="57A2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453D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AD9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4E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国产大语言模型云服务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541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具有国产大语言模型对接功能（如 </w:t>
            </w:r>
            <w:r>
              <w:rPr>
                <w:rStyle w:val="6"/>
                <w:rFonts w:hint="default"/>
                <w:b w:val="0"/>
                <w:bCs w:val="0"/>
                <w:sz w:val="24"/>
                <w:szCs w:val="24"/>
                <w:lang w:bidi="ar"/>
              </w:rPr>
              <w:t>DeepSeek R1/V3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、通义千问、文心一言、智谱AI、科大讯飞星火、火山豆包大模型等），根据学校需求对接所需的大语言模型，且可选择是否启用。</w:t>
            </w:r>
          </w:p>
        </w:tc>
      </w:tr>
      <w:tr w14:paraId="46A0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A3A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BC9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AF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3914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第一时间接入最新发布的 DeepSeek 或其他当前最强大模型。</w:t>
            </w:r>
          </w:p>
        </w:tc>
      </w:tr>
      <w:tr w14:paraId="5853C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D09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F3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知识库管理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88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知识库维护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4EAB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文档上传能力：支持通过上传PDF、DOC、DOCX、TXT、XLS、XLSX、PPT、PPTX等格式文档。</w:t>
            </w:r>
          </w:p>
        </w:tc>
      </w:tr>
      <w:tr w14:paraId="0B60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A7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45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451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FCC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自定义知识库维护：支持校方自主构建知识库，并允许不同部门分别维护各自知识库；支持结合知识库给用户进行生成式回答。</w:t>
            </w:r>
          </w:p>
        </w:tc>
      </w:tr>
      <w:tr w14:paraId="0897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5A1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7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76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切片测试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FA17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文档切片编辑：支持将知识库切片后线上编辑，提升用户后续对知识库管理的交互体验。</w:t>
            </w:r>
          </w:p>
        </w:tc>
      </w:tr>
      <w:tr w14:paraId="1164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4E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DB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58CF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文档测试：支持对导入的文档进行问答测试，并显示问答的匹配度，并可以进行切片的编辑、调整，完成文档内容的匹配度验证。</w:t>
            </w:r>
          </w:p>
        </w:tc>
      </w:tr>
      <w:tr w14:paraId="6F658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F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C83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D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活跃情况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0BD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在系统运行分析中，供管理员查看今日咨询人次、客服服务时长、平均每人咨询时长、服务效能等统计数据。</w:t>
            </w:r>
          </w:p>
        </w:tc>
      </w:tr>
      <w:tr w14:paraId="5AD4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EB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E3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6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F733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用户访问日趋势图(用户访问次数、提问数)。</w:t>
            </w:r>
          </w:p>
        </w:tc>
      </w:tr>
      <w:tr w14:paraId="1235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72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7E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2A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日志与反馈机制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1B53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产品应记录所有用户问答的日志，并允许用户对回答进行赞同或反对反馈，以便后续对回答效果进行持续优化。</w:t>
            </w:r>
          </w:p>
        </w:tc>
      </w:tr>
      <w:tr w14:paraId="3FD3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CF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集成与实施服务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7A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多渠道接入服务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348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移动端嵌入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2A49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支持与学校现有微信公众号集成</w:t>
            </w:r>
          </w:p>
        </w:tc>
      </w:tr>
      <w:tr w14:paraId="1825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758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23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1B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校园平台对接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823C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支持和学校的统一身份认证对接，实现单点登录，或其他业务系统API。</w:t>
            </w:r>
          </w:p>
        </w:tc>
      </w:tr>
      <w:tr w14:paraId="6A8F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6DE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BFB5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58A8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课表系统对接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061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支持与学校课表系统对接，提供校内师生查询课表服务。</w:t>
            </w:r>
          </w:p>
        </w:tc>
      </w:tr>
      <w:tr w14:paraId="4FF6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E4E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B0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实施与调试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EF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安装、调试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934E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服务器的安装调试、AI助手和平台的本地部署、调试工作。</w:t>
            </w:r>
          </w:p>
        </w:tc>
      </w:tr>
      <w:tr w14:paraId="1A38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807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CC2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41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知识库的整理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CC55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帮助学校整理相关知识库材料信息。</w:t>
            </w:r>
          </w:p>
        </w:tc>
      </w:tr>
      <w:tr w14:paraId="35C9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A10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8A5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维保服务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542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智能体的维保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B7A3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帮忙学校维保智能体周期1年</w:t>
            </w:r>
          </w:p>
        </w:tc>
      </w:tr>
    </w:tbl>
    <w:p w14:paraId="694730CB">
      <w:p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27C2"/>
    <w:rsid w:val="2DC70C10"/>
    <w:rsid w:val="30DF340D"/>
    <w:rsid w:val="4A6534B0"/>
    <w:rsid w:val="4B3229B3"/>
    <w:rsid w:val="4D9B44D5"/>
    <w:rsid w:val="718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1014</Characters>
  <Lines>0</Lines>
  <Paragraphs>0</Paragraphs>
  <TotalTime>0</TotalTime>
  <ScaleCrop>false</ScaleCrop>
  <LinksUpToDate>false</LinksUpToDate>
  <CharactersWithSpaces>1018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2025-09-11T08:47:00Z</dcterms:created>
  <dc:creator>zhengyi</dc:creator>
  <cp:lastModifiedBy>qmhmf</cp:lastModifiedBy>
  <dcterms:modified xsi:type="dcterms:W3CDTF">2025-09-11T08:55:52Z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eyJoZGlkIjoiZjVhNGJiMWVmZTg4ZjFhYWZhYWFiMzBkODkwYWRkZmUiLCJ1c2VySWQiOiIxNDY1NTcyNzg1In0=</vt:lpwstr>
  </property>
  <property fmtid="{D5CDD505-2E9C-101B-9397-08002B2CF9AE}" pid="4" name="ICV">
    <vt:lpwstr>E95F296C16E641A291740EE3FB93E033_12</vt:lpwstr>
  </property>
</Properties>
</file>